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EEB3A" w14:textId="77777777" w:rsidR="0006077B" w:rsidRDefault="009E234D">
      <w:pPr>
        <w:rPr>
          <w:b/>
          <w:bCs/>
          <w:sz w:val="32"/>
          <w:szCs w:val="32"/>
        </w:rPr>
      </w:pPr>
      <w:r>
        <w:rPr>
          <w:b/>
          <w:bCs/>
          <w:sz w:val="32"/>
          <w:szCs w:val="32"/>
        </w:rPr>
        <w:t>Technologie trifft Tradition</w:t>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06077B" w14:paraId="77A3DA0D"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41A3039C" w14:textId="77777777" w:rsidR="0006077B" w:rsidRDefault="009E234D">
            <w:r>
              <w:rPr>
                <w:rFonts w:eastAsia="Arial"/>
              </w:rPr>
              <w:t>TOTO Ausstellung in London zeigt neueste Badezimmertechnologie im Kontext traditioneller japanischer Kultur.</w:t>
            </w:r>
          </w:p>
        </w:tc>
        <w:tc>
          <w:tcPr>
            <w:tcW w:w="1200" w:type="pct"/>
            <w:tcBorders>
              <w:top w:val="nil"/>
              <w:left w:val="nil"/>
              <w:bottom w:val="nil"/>
              <w:right w:val="nil"/>
            </w:tcBorders>
            <w:shd w:val="clear" w:color="auto" w:fill="auto"/>
            <w:tcMar>
              <w:top w:w="0" w:type="dxa"/>
              <w:left w:w="0" w:type="dxa"/>
              <w:bottom w:w="0" w:type="dxa"/>
              <w:right w:w="227" w:type="dxa"/>
            </w:tcMar>
          </w:tcPr>
          <w:p w14:paraId="25CE551C" w14:textId="77777777" w:rsidR="0006077B" w:rsidRDefault="0006077B"/>
        </w:tc>
      </w:tr>
      <w:tr w:rsidR="0006077B" w14:paraId="789BD13A"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63F11E7B" w14:textId="77777777" w:rsidR="0006077B" w:rsidRDefault="0006077B"/>
        </w:tc>
        <w:tc>
          <w:tcPr>
            <w:tcW w:w="2736" w:type="dxa"/>
            <w:tcBorders>
              <w:top w:val="nil"/>
              <w:left w:val="nil"/>
              <w:bottom w:val="nil"/>
              <w:right w:val="nil"/>
            </w:tcBorders>
            <w:shd w:val="clear" w:color="auto" w:fill="auto"/>
            <w:tcMar>
              <w:top w:w="0" w:type="dxa"/>
              <w:left w:w="0" w:type="dxa"/>
              <w:bottom w:w="0" w:type="dxa"/>
              <w:right w:w="227" w:type="dxa"/>
            </w:tcMar>
          </w:tcPr>
          <w:p w14:paraId="342B34F8" w14:textId="77777777" w:rsidR="0006077B" w:rsidRDefault="0006077B"/>
        </w:tc>
      </w:tr>
    </w:tbl>
    <w:p w14:paraId="0CB694AF" w14:textId="77777777" w:rsidR="0006077B" w:rsidRDefault="009E234D">
      <w:pPr>
        <w:rPr>
          <w:sz w:val="8"/>
          <w:szCs w:val="8"/>
        </w:rPr>
      </w:pPr>
      <w:r>
        <w:rPr>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06077B" w14:paraId="75186DB3"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5372C5BB" w14:textId="77777777" w:rsidR="0006077B" w:rsidRDefault="009E234D">
            <w:pPr>
              <w:rPr>
                <w:sz w:val="18"/>
                <w:szCs w:val="18"/>
              </w:rPr>
            </w:pPr>
            <w:r>
              <w:rPr>
                <w:noProof/>
                <w:sz w:val="18"/>
                <w:szCs w:val="18"/>
              </w:rPr>
              <w:drawing>
                <wp:inline distT="0" distB="0" distL="0" distR="0" wp14:anchorId="5EBA9C30" wp14:editId="3806B807">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453552E7" w14:textId="77777777" w:rsidR="0006077B" w:rsidRDefault="009E234D">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06077B" w14:paraId="04316D7A" w14:textId="77777777">
        <w:tc>
          <w:tcPr>
            <w:tcW w:w="3800" w:type="pct"/>
            <w:tcBorders>
              <w:top w:val="nil"/>
              <w:left w:val="nil"/>
              <w:bottom w:val="nil"/>
              <w:right w:val="nil"/>
            </w:tcBorders>
            <w:shd w:val="clear" w:color="auto" w:fill="auto"/>
            <w:tcMar>
              <w:top w:w="0" w:type="dxa"/>
              <w:left w:w="0" w:type="dxa"/>
              <w:bottom w:w="0" w:type="dxa"/>
              <w:right w:w="227" w:type="dxa"/>
            </w:tcMar>
          </w:tcPr>
          <w:p w14:paraId="29BA50E5" w14:textId="77777777" w:rsidR="0006077B" w:rsidRDefault="009E234D">
            <w:pPr>
              <w:spacing w:after="240"/>
              <w:rPr>
                <w:sz w:val="20"/>
                <w:szCs w:val="20"/>
              </w:rPr>
            </w:pPr>
            <w:r>
              <w:rPr>
                <w:i/>
                <w:sz w:val="20"/>
                <w:szCs w:val="20"/>
              </w:rPr>
              <w:t>Vom 20. Mai bis 31. Juli 2024 findet die Sommerausstellung TECHNOLOGY MEETS TRADITION im TOTO Showroom im Stadtteil Clerkenwell, in London, statt. Die Ausstellung verbindet die reiche japanische Tradition und japanische Kultur mit modernster Sanitärtechnol</w:t>
            </w:r>
            <w:r>
              <w:rPr>
                <w:i/>
                <w:sz w:val="20"/>
                <w:szCs w:val="20"/>
              </w:rPr>
              <w:t>ogie. Sie umfasst die Installation authentischer Zen-Gärten, den temporären Bau eines Teehauses und die Präsentation einer Kollektion von Sanitärprodukten. Die Besucherinnen und Besucher erleben so die Verbindung der japanischen Kultur mit den Sanitärprodu</w:t>
            </w:r>
            <w:r>
              <w:rPr>
                <w:i/>
                <w:sz w:val="20"/>
                <w:szCs w:val="20"/>
              </w:rPr>
              <w:t>kten von TOTO, die aus diesem Kulturverständnis heraus entstanden sind.</w:t>
            </w:r>
          </w:p>
          <w:p w14:paraId="6BBE2706" w14:textId="77777777" w:rsidR="0006077B" w:rsidRDefault="009E234D">
            <w:pPr>
              <w:spacing w:after="240"/>
              <w:rPr>
                <w:sz w:val="20"/>
                <w:szCs w:val="20"/>
              </w:rPr>
            </w:pPr>
            <w:r>
              <w:rPr>
                <w:sz w:val="20"/>
                <w:szCs w:val="20"/>
              </w:rPr>
              <w:t xml:space="preserve">TOTO ist bekannt für innovative Sanitärkeramik, die nach der japanischen Kaizen-Philosophie ständig weiterentwickelt wird, um höchsten Hygiene- und Komfortstandards gerecht zu werden. </w:t>
            </w:r>
            <w:r>
              <w:rPr>
                <w:sz w:val="20"/>
                <w:szCs w:val="20"/>
              </w:rPr>
              <w:t>Dafür werden modernste Technologien eingesetzt, wie bei dem luxuriösen WASHLET NEOREST WX und der wohltuenden Floating Badewanne. Diese Designprodukte von TOTO werden in der Ausstellung im Kontext eines japanischen Zen-Gartens präsentiert, der durch minima</w:t>
            </w:r>
            <w:r>
              <w:rPr>
                <w:sz w:val="20"/>
                <w:szCs w:val="20"/>
              </w:rPr>
              <w:t xml:space="preserve">listisches Design Ruhe und Entspannung fördert. Dies ist auch Teil der Philosophie der "unaufdringlichen Präsenz", die TOTO bei seinem Produktdesign verfolgt und mittels dreier Prinzipien konsequent umsetzt: benutzerfreundliches Design, das den Körper und </w:t>
            </w:r>
            <w:r>
              <w:rPr>
                <w:sz w:val="20"/>
                <w:szCs w:val="20"/>
              </w:rPr>
              <w:t>Geist im Alltag unterstützt; ästhetische Elemente, die Harmonie schaffen; und ein Design von bleibender Schönheit, das Gebrauchstauglichkeit und langlebige Ästhetik vereint.</w:t>
            </w:r>
          </w:p>
          <w:p w14:paraId="78EBF61B" w14:textId="77777777" w:rsidR="0006077B" w:rsidRDefault="009E234D">
            <w:pPr>
              <w:spacing w:after="240"/>
              <w:rPr>
                <w:sz w:val="20"/>
                <w:szCs w:val="20"/>
              </w:rPr>
            </w:pPr>
            <w:r>
              <w:rPr>
                <w:b/>
                <w:sz w:val="20"/>
                <w:szCs w:val="20"/>
              </w:rPr>
              <w:t>Beruhigender Zen-Garten von Emi Morita</w:t>
            </w:r>
          </w:p>
          <w:p w14:paraId="0F4D5D6D" w14:textId="6FA5BF6B" w:rsidR="0006077B" w:rsidRDefault="009E234D">
            <w:pPr>
              <w:spacing w:after="240"/>
              <w:rPr>
                <w:sz w:val="20"/>
                <w:szCs w:val="20"/>
              </w:rPr>
            </w:pPr>
            <w:r>
              <w:rPr>
                <w:sz w:val="20"/>
                <w:szCs w:val="20"/>
              </w:rPr>
              <w:t>Zen-Gärten oder japanische Steingärten sind</w:t>
            </w:r>
            <w:r>
              <w:rPr>
                <w:sz w:val="20"/>
                <w:szCs w:val="20"/>
              </w:rPr>
              <w:t xml:space="preserve"> bekannt für ihre Klarheit und Ruhe. Diese sorgfältig gestalteten Räume integrieren natürliche Elemente wie Felsen, </w:t>
            </w:r>
            <w:r>
              <w:rPr>
                <w:sz w:val="20"/>
                <w:szCs w:val="20"/>
              </w:rPr>
              <w:lastRenderedPageBreak/>
              <w:t>Kies, Sand und Pflanzen in harmonischen und oft symbolischen Arrangements, die ein Gefühl des inneren Gleichgewichts hervorrufen. Zen-Gärten</w:t>
            </w:r>
            <w:r>
              <w:rPr>
                <w:sz w:val="20"/>
                <w:szCs w:val="20"/>
              </w:rPr>
              <w:t xml:space="preserve"> gehen auf eine jahrhundertelange Tradition zurück</w:t>
            </w:r>
            <w:r>
              <w:rPr>
                <w:sz w:val="20"/>
                <w:szCs w:val="20"/>
              </w:rPr>
              <w:t xml:space="preserve"> und sind zu einer zeitlosen Verkörperung minimalistischer Ästhetik und kontemplativer Gestaltungsprinzipien geworden. "Meine Mission ist es, den Menschen durch den japanischen Garten die fünf Sinne de</w:t>
            </w:r>
            <w:r>
              <w:rPr>
                <w:sz w:val="20"/>
                <w:szCs w:val="20"/>
              </w:rPr>
              <w:t>s modernen Alltagslebens nahezubringen", so Landschaftsarchitektin Emi Morita, die die Zen-Gärten in der Ausstellung TECHNOLOGY MEETS TRADITION gestaltet hat.</w:t>
            </w:r>
          </w:p>
          <w:p w14:paraId="2605DC91" w14:textId="77777777" w:rsidR="0006077B" w:rsidRDefault="009E234D">
            <w:pPr>
              <w:spacing w:after="240"/>
              <w:rPr>
                <w:sz w:val="20"/>
                <w:szCs w:val="20"/>
              </w:rPr>
            </w:pPr>
            <w:r>
              <w:rPr>
                <w:b/>
                <w:sz w:val="20"/>
                <w:szCs w:val="20"/>
              </w:rPr>
              <w:t>Teehaus entworfen von Squire &amp; Partners</w:t>
            </w:r>
          </w:p>
          <w:p w14:paraId="49EB6278" w14:textId="77777777" w:rsidR="0006077B" w:rsidRDefault="009E234D">
            <w:pPr>
              <w:spacing w:after="240"/>
              <w:rPr>
                <w:sz w:val="20"/>
                <w:szCs w:val="20"/>
              </w:rPr>
            </w:pPr>
            <w:r>
              <w:rPr>
                <w:sz w:val="20"/>
                <w:szCs w:val="20"/>
              </w:rPr>
              <w:t>Im Untergeschoss des Showrooms in Clerkenwell hat das ang</w:t>
            </w:r>
            <w:r>
              <w:rPr>
                <w:sz w:val="20"/>
                <w:szCs w:val="20"/>
              </w:rPr>
              <w:t>esehene Londoner Architekturbüro Squire &amp; Partners ein außergewöhnliches Teezimmer entworfen. Diese speziell gestalteten Räume oder Häuser („Chashitsu“), die in Japan für Teezeremonien („chanoyu“) genutzt werden, verkörpern die Essenz von Ruhe und Harmonie</w:t>
            </w:r>
            <w:r>
              <w:rPr>
                <w:sz w:val="20"/>
                <w:szCs w:val="20"/>
              </w:rPr>
              <w:t xml:space="preserve"> in der traditionellen japanischen Kultur. Es sind Räume der Stille für diese hoch ritualisierte Form der Gastfreundschaft und feinsinnigen Wertschätzung, die ein harmonisches Gefühl zwischen Gast und Gastgeber entstehen lassen. Geprägt von minimalistische</w:t>
            </w:r>
            <w:r>
              <w:rPr>
                <w:sz w:val="20"/>
                <w:szCs w:val="20"/>
              </w:rPr>
              <w:t>r Ästhetik, hat das Team von Squire &amp; Partners eine moderne Version mit speziellen Materialien aus der CIPANGO-Kollektion umgesetzt.</w:t>
            </w:r>
          </w:p>
          <w:p w14:paraId="662D6D7C" w14:textId="77777777" w:rsidR="0006077B" w:rsidRDefault="009E234D">
            <w:pPr>
              <w:spacing w:after="240"/>
              <w:rPr>
                <w:sz w:val="20"/>
                <w:szCs w:val="20"/>
              </w:rPr>
            </w:pPr>
            <w:r>
              <w:rPr>
                <w:b/>
                <w:sz w:val="20"/>
                <w:szCs w:val="20"/>
              </w:rPr>
              <w:t xml:space="preserve">CIPANGO – altes Handwerk trifft auf modernes Design </w:t>
            </w:r>
          </w:p>
          <w:p w14:paraId="77CE0A5B" w14:textId="77777777" w:rsidR="0006077B" w:rsidRDefault="009E234D">
            <w:pPr>
              <w:spacing w:after="240"/>
              <w:rPr>
                <w:sz w:val="20"/>
                <w:szCs w:val="20"/>
              </w:rPr>
            </w:pPr>
            <w:r>
              <w:rPr>
                <w:sz w:val="20"/>
                <w:szCs w:val="20"/>
              </w:rPr>
              <w:t>Als soziales Nischenunternehmen bringt CIPANGO Architekten, Designer u</w:t>
            </w:r>
            <w:r>
              <w:rPr>
                <w:sz w:val="20"/>
                <w:szCs w:val="20"/>
              </w:rPr>
              <w:t>nd andere Fachleute aus der Bau- und Designbranche mit japanischen Kunsthandwerkern zusammen. CIPANGO repräsentiert dabei traditionelle japanische Kunsthandwerksbetriebe, die ihre überlieferten Techniken für moderne Anwendungen neu interpretieren. Die Auss</w:t>
            </w:r>
            <w:r>
              <w:rPr>
                <w:sz w:val="20"/>
                <w:szCs w:val="20"/>
              </w:rPr>
              <w:t>tellung TECHNOLOGY MEETS TRADITION zeigt die Vielseitigkeit, das handwerkliche Können und das transformative Potenzial der Materialien in der Innenarchitektur und Architektur. Die von TOTO in Clerkenwell ausgestellte Kollektion umfasst dabei Harigane-Metal</w:t>
            </w:r>
            <w:r>
              <w:rPr>
                <w:sz w:val="20"/>
                <w:szCs w:val="20"/>
              </w:rPr>
              <w:t>lgewebe, Youbi-Hinoki-Möbel, Maruni-Holzschnitte und -Papierarbeiten sowie Tatinoya-Holzgewebe.</w:t>
            </w:r>
          </w:p>
          <w:p w14:paraId="36703CDF" w14:textId="77777777" w:rsidR="0006077B" w:rsidRDefault="009E234D">
            <w:pPr>
              <w:spacing w:after="240"/>
              <w:rPr>
                <w:sz w:val="20"/>
                <w:szCs w:val="20"/>
              </w:rPr>
            </w:pPr>
            <w:r>
              <w:rPr>
                <w:sz w:val="20"/>
                <w:szCs w:val="20"/>
              </w:rPr>
              <w:t>Besucherinnen und Besucher der Ausstellung erwartet eine besondere Fusion von Tradition und Moderne, die nicht nur Einblicke in die Innovationen der Badezimmert</w:t>
            </w:r>
            <w:r>
              <w:rPr>
                <w:sz w:val="20"/>
                <w:szCs w:val="20"/>
              </w:rPr>
              <w:t xml:space="preserve">echnologie von TOTO bietet, sondern auch die zeitlose Schönheit und Harmonie der traditionellen japanischen Kultur erfahrbar macht. Die besondere Ästhetik, eine vollendete Gastfreundschaft, Zeitlosigkeit, Hingabe, Perfektion in Handwerk und Gestaltung und </w:t>
            </w:r>
            <w:r>
              <w:rPr>
                <w:sz w:val="20"/>
                <w:szCs w:val="20"/>
              </w:rPr>
              <w:t>die Wertschätzung von Kleinigkeiten sind Elemente, die sich sowohl in der japanischen Kultur als auch in den Sanitärprodukten von TOTO wiederfinden.</w:t>
            </w:r>
          </w:p>
          <w:p w14:paraId="0ADBFB93" w14:textId="77777777" w:rsidR="0080139F" w:rsidRDefault="0080139F">
            <w:pPr>
              <w:spacing w:after="240"/>
              <w:rPr>
                <w:sz w:val="20"/>
                <w:szCs w:val="20"/>
              </w:rPr>
            </w:pPr>
          </w:p>
          <w:p w14:paraId="344EF199" w14:textId="77777777" w:rsidR="0006077B" w:rsidRDefault="009E234D">
            <w:pPr>
              <w:rPr>
                <w:sz w:val="20"/>
                <w:szCs w:val="20"/>
              </w:rPr>
            </w:pPr>
            <w:r>
              <w:rPr>
                <w:sz w:val="20"/>
                <w:szCs w:val="20"/>
              </w:rPr>
              <w:t>Düsseldorf, Juni 2024</w:t>
            </w:r>
            <w:r>
              <w:rPr>
                <w:sz w:val="20"/>
                <w:szCs w:val="20"/>
              </w:rPr>
              <w:br/>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14:paraId="53974117" w14:textId="77777777" w:rsidR="0006077B" w:rsidRDefault="009E234D">
            <w:pPr>
              <w:spacing w:after="240"/>
              <w:rPr>
                <w:sz w:val="20"/>
                <w:szCs w:val="20"/>
              </w:rPr>
            </w:pPr>
            <w:r>
              <w:rPr>
                <w:b/>
                <w:sz w:val="20"/>
                <w:szCs w:val="20"/>
              </w:rPr>
              <w:lastRenderedPageBreak/>
              <w:t>Ansprechpartner für Journalisten:</w:t>
            </w:r>
            <w:r>
              <w:rPr>
                <w:b/>
                <w:sz w:val="20"/>
                <w:szCs w:val="20"/>
              </w:rPr>
              <w:br/>
            </w:r>
            <w:r>
              <w:rPr>
                <w:sz w:val="20"/>
                <w:szCs w:val="20"/>
              </w:rPr>
              <w:t>bering*kopal G</w:t>
            </w:r>
            <w:r>
              <w:rPr>
                <w:sz w:val="20"/>
                <w:szCs w:val="20"/>
              </w:rPr>
              <w:t>bR, Büro für Kommunikation</w:t>
            </w:r>
            <w:r>
              <w:rPr>
                <w:sz w:val="20"/>
                <w:szCs w:val="20"/>
              </w:rPr>
              <w:br/>
              <w:t>Heike Bering</w:t>
            </w:r>
            <w:r>
              <w:rPr>
                <w:sz w:val="20"/>
                <w:szCs w:val="20"/>
              </w:rPr>
              <w:br/>
              <w:t xml:space="preserve">Tel. +49 (0)711 </w:t>
            </w:r>
            <w:r w:rsidR="0080139F">
              <w:rPr>
                <w:sz w:val="20"/>
                <w:szCs w:val="20"/>
              </w:rPr>
              <w:br/>
            </w:r>
            <w:r>
              <w:rPr>
                <w:sz w:val="20"/>
                <w:szCs w:val="20"/>
              </w:rPr>
              <w:t>7451 759 15</w:t>
            </w:r>
            <w:r w:rsidR="0080139F">
              <w:rPr>
                <w:sz w:val="20"/>
                <w:szCs w:val="20"/>
              </w:rPr>
              <w:br/>
            </w:r>
            <w:r>
              <w:rPr>
                <w:sz w:val="20"/>
                <w:szCs w:val="20"/>
              </w:rPr>
              <w:t>heike.bering@</w:t>
            </w:r>
            <w:r>
              <w:rPr>
                <w:sz w:val="20"/>
                <w:szCs w:val="20"/>
              </w:rPr>
              <w:br/>
              <w:t>bering-kopal.de</w:t>
            </w:r>
          </w:p>
          <w:p w14:paraId="6CA8E645" w14:textId="77777777" w:rsidR="0006077B" w:rsidRDefault="009E234D">
            <w:pPr>
              <w:spacing w:after="240"/>
              <w:rPr>
                <w:sz w:val="20"/>
                <w:szCs w:val="20"/>
              </w:rPr>
            </w:pPr>
            <w:r>
              <w:rPr>
                <w:b/>
                <w:sz w:val="20"/>
                <w:szCs w:val="20"/>
              </w:rPr>
              <w:t>Ansprechpartnerin im Unternehmen:</w:t>
            </w:r>
            <w:r>
              <w:rPr>
                <w:b/>
                <w:sz w:val="20"/>
                <w:szCs w:val="20"/>
              </w:rPr>
              <w:br/>
            </w:r>
            <w:r>
              <w:rPr>
                <w:sz w:val="20"/>
                <w:szCs w:val="20"/>
              </w:rPr>
              <w:t>Anja Giersiepen</w:t>
            </w:r>
            <w:r>
              <w:rPr>
                <w:sz w:val="20"/>
                <w:szCs w:val="20"/>
              </w:rPr>
              <w:br/>
              <w:t>anja.giersiepen@</w:t>
            </w:r>
            <w:r>
              <w:rPr>
                <w:sz w:val="20"/>
                <w:szCs w:val="20"/>
              </w:rPr>
              <w:br/>
              <w:t>toto.com</w:t>
            </w:r>
          </w:p>
          <w:p w14:paraId="2696D9E2" w14:textId="77777777" w:rsidR="0006077B" w:rsidRDefault="009E234D">
            <w:pPr>
              <w:rPr>
                <w:sz w:val="20"/>
                <w:szCs w:val="20"/>
              </w:rPr>
            </w:pPr>
            <w:r>
              <w:rPr>
                <w:sz w:val="20"/>
                <w:szCs w:val="20"/>
              </w:rPr>
              <w:t>TOTO im Internet:</w:t>
            </w:r>
            <w:r>
              <w:rPr>
                <w:sz w:val="20"/>
                <w:szCs w:val="20"/>
              </w:rPr>
              <w:br/>
            </w:r>
            <w:hyperlink r:id="rId7">
              <w:r>
                <w:rPr>
                  <w:rStyle w:val="Hyperlink"/>
                  <w:color w:val="000000"/>
                  <w:sz w:val="20"/>
                  <w:szCs w:val="20"/>
                </w:rPr>
                <w:t>eu.toto.com/de</w:t>
              </w:r>
            </w:hyperlink>
          </w:p>
        </w:tc>
      </w:tr>
    </w:tbl>
    <w:p w14:paraId="77418189" w14:textId="77777777" w:rsidR="0006077B" w:rsidRDefault="009E234D">
      <w:r>
        <w:br w:type="page"/>
      </w:r>
    </w:p>
    <w:p w14:paraId="27136905" w14:textId="77777777" w:rsidR="0006077B" w:rsidRDefault="009E234D">
      <w:pPr>
        <w:rPr>
          <w:sz w:val="17"/>
          <w:szCs w:val="17"/>
        </w:rPr>
      </w:pPr>
      <w:r>
        <w:rPr>
          <w:b/>
          <w:sz w:val="17"/>
          <w:szCs w:val="17"/>
        </w:rPr>
        <w:lastRenderedPageBreak/>
        <w:t>1</w:t>
      </w:r>
      <w:r>
        <w:rPr>
          <w:sz w:val="17"/>
          <w:szCs w:val="17"/>
        </w:rPr>
        <w:t xml:space="preserve"> In der aktuellen Sommerausstellung im Londoner Showroom von TOTO werden die hochwertigen Sanitärprodukte im Kontext japanischer Zen-Gärten präsentiert. Ein hohes Maß an ästhetischer Harmonie verbindet die japanischen Zen-Gärten mit der Sanitärkeramik von </w:t>
      </w:r>
      <w:r>
        <w:rPr>
          <w:sz w:val="17"/>
          <w:szCs w:val="17"/>
        </w:rPr>
        <w:t>TOTO. Foto: TOTO</w:t>
      </w:r>
      <w:r>
        <w:rPr>
          <w:sz w:val="17"/>
          <w:szCs w:val="17"/>
        </w:rPr>
        <w:br/>
      </w:r>
    </w:p>
    <w:p w14:paraId="2EB0AF39" w14:textId="77777777" w:rsidR="0006077B" w:rsidRDefault="009E234D">
      <w:pPr>
        <w:rPr>
          <w:sz w:val="17"/>
          <w:szCs w:val="17"/>
        </w:rPr>
      </w:pPr>
      <w:r>
        <w:rPr>
          <w:b/>
          <w:sz w:val="17"/>
          <w:szCs w:val="17"/>
        </w:rPr>
        <w:t>2</w:t>
      </w:r>
      <w:r>
        <w:rPr>
          <w:sz w:val="17"/>
          <w:szCs w:val="17"/>
        </w:rPr>
        <w:t xml:space="preserve"> Die Sommerausstellung TECHNOLOGY MEETS TRADITION findet vom 20. Mai bis zum 31. Juli 2024 im TOTO Showroom in Clerkenwell, einem Stadtteil von London, statt. In dieser Ausstellung wird die langjährige Tradition des japanischen Handwerks</w:t>
      </w:r>
      <w:r>
        <w:rPr>
          <w:sz w:val="17"/>
          <w:szCs w:val="17"/>
        </w:rPr>
        <w:t xml:space="preserve"> und der japanischen Kultur mit innovativer Technologie vereint. Foto: TOTO</w:t>
      </w:r>
      <w:r>
        <w:rPr>
          <w:sz w:val="17"/>
          <w:szCs w:val="17"/>
        </w:rPr>
        <w:br/>
      </w:r>
    </w:p>
    <w:p w14:paraId="4B3EDF58" w14:textId="77777777" w:rsidR="0006077B" w:rsidRDefault="009E234D">
      <w:pPr>
        <w:rPr>
          <w:sz w:val="17"/>
          <w:szCs w:val="17"/>
        </w:rPr>
      </w:pPr>
      <w:r>
        <w:rPr>
          <w:b/>
          <w:sz w:val="17"/>
          <w:szCs w:val="17"/>
        </w:rPr>
        <w:t>3</w:t>
      </w:r>
      <w:r>
        <w:rPr>
          <w:sz w:val="17"/>
          <w:szCs w:val="17"/>
        </w:rPr>
        <w:t xml:space="preserve"> Emi Morita ist studierte Architektin, ging darüber hinaus fünf Jahre lang bei dem japanischen Garten- und Teegartendesigner Hidefumi Nagato in Hiroshima, Japan, in die Lehre. An</w:t>
      </w:r>
      <w:r>
        <w:rPr>
          <w:sz w:val="17"/>
          <w:szCs w:val="17"/>
        </w:rPr>
        <w:t>schließend war sie u.a. für das Beschneiden und die Verwaltung der Bonsai-Sammlung des Botanischen Gartens der Moskauer Akademie zuständig. Sie hat die Zen-Gärten in der temporären Ausstellung von TOTO gestaltet. Foto: TOTO</w:t>
      </w:r>
      <w:r>
        <w:rPr>
          <w:sz w:val="17"/>
          <w:szCs w:val="17"/>
        </w:rPr>
        <w:br/>
      </w:r>
    </w:p>
    <w:p w14:paraId="460B114E" w14:textId="77777777" w:rsidR="0006077B" w:rsidRDefault="009E234D">
      <w:pPr>
        <w:rPr>
          <w:sz w:val="17"/>
          <w:szCs w:val="17"/>
        </w:rPr>
      </w:pPr>
      <w:r>
        <w:rPr>
          <w:b/>
          <w:sz w:val="17"/>
          <w:szCs w:val="17"/>
        </w:rPr>
        <w:t>4</w:t>
      </w:r>
      <w:r>
        <w:rPr>
          <w:sz w:val="17"/>
          <w:szCs w:val="17"/>
        </w:rPr>
        <w:t xml:space="preserve"> Die hochwertige Sanitärkerami</w:t>
      </w:r>
      <w:r>
        <w:rPr>
          <w:sz w:val="17"/>
          <w:szCs w:val="17"/>
        </w:rPr>
        <w:t>k von TOTO verleiht sowohl Wohn- als auch Hotelprojekten eine ästhetisch ausgewogene Atmosphäre im Badezimmer. Sie schafft eine Harmonie, die an die unaufdringliche Gelassenheit eines japanischen Gartens erinnert.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06077B" w14:paraId="389386D6" w14:textId="77777777">
        <w:tc>
          <w:tcPr>
            <w:tcW w:w="2444" w:type="pct"/>
            <w:tcBorders>
              <w:top w:val="nil"/>
              <w:left w:val="nil"/>
              <w:bottom w:val="nil"/>
              <w:right w:val="nil"/>
            </w:tcBorders>
            <w:shd w:val="clear" w:color="auto" w:fill="auto"/>
            <w:tcMar>
              <w:top w:w="0" w:type="dxa"/>
              <w:left w:w="0" w:type="dxa"/>
              <w:bottom w:w="0" w:type="dxa"/>
              <w:right w:w="0" w:type="dxa"/>
            </w:tcMar>
          </w:tcPr>
          <w:p w14:paraId="31A3AB1D" w14:textId="77777777" w:rsidR="0006077B" w:rsidRDefault="009E234D">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6EE83FD7" w14:textId="77777777" w:rsidR="0006077B" w:rsidRDefault="0006077B">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EE5FFCF" w14:textId="77777777" w:rsidR="0006077B" w:rsidRDefault="009E234D">
            <w:pPr>
              <w:keepNext/>
              <w:keepLines/>
              <w:rPr>
                <w:sz w:val="14"/>
                <w:szCs w:val="14"/>
              </w:rPr>
            </w:pPr>
            <w:r>
              <w:rPr>
                <w:sz w:val="14"/>
                <w:szCs w:val="14"/>
              </w:rPr>
              <w:t>2.</w:t>
            </w:r>
          </w:p>
        </w:tc>
      </w:tr>
      <w:tr w:rsidR="0006077B" w14:paraId="0889567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EA88308" w14:textId="77777777" w:rsidR="0006077B" w:rsidRDefault="009E234D">
            <w:pPr>
              <w:keepNext/>
              <w:keepLines/>
              <w:rPr>
                <w:sz w:val="14"/>
                <w:szCs w:val="14"/>
              </w:rPr>
            </w:pPr>
            <w:r>
              <w:rPr>
                <w:noProof/>
                <w:sz w:val="14"/>
                <w:szCs w:val="14"/>
              </w:rPr>
              <w:drawing>
                <wp:inline distT="0" distB="0" distL="0" distR="0" wp14:anchorId="74CEAF2B" wp14:editId="38230187">
                  <wp:extent cx="26847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1B781BA" w14:textId="77777777" w:rsidR="0006077B" w:rsidRDefault="0006077B">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7F8A2C6" w14:textId="77777777" w:rsidR="0006077B" w:rsidRDefault="009E234D">
            <w:pPr>
              <w:keepNext/>
              <w:keepLines/>
              <w:rPr>
                <w:sz w:val="14"/>
                <w:szCs w:val="14"/>
              </w:rPr>
            </w:pPr>
            <w:r>
              <w:rPr>
                <w:noProof/>
                <w:sz w:val="14"/>
                <w:szCs w:val="14"/>
              </w:rPr>
              <w:drawing>
                <wp:inline distT="0" distB="0" distL="0" distR="0" wp14:anchorId="31FE6A17" wp14:editId="0838CA3A">
                  <wp:extent cx="26847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684780" cy="2014220"/>
                          </a:xfrm>
                          <a:prstGeom prst="rect">
                            <a:avLst/>
                          </a:prstGeom>
                        </pic:spPr>
                      </pic:pic>
                    </a:graphicData>
                  </a:graphic>
                </wp:inline>
              </w:drawing>
            </w:r>
          </w:p>
        </w:tc>
      </w:tr>
      <w:tr w:rsidR="0006077B" w14:paraId="7B3B6FC5" w14:textId="77777777">
        <w:tc>
          <w:tcPr>
            <w:tcW w:w="2444" w:type="pct"/>
            <w:tcBorders>
              <w:top w:val="nil"/>
              <w:left w:val="nil"/>
              <w:bottom w:val="nil"/>
              <w:right w:val="nil"/>
            </w:tcBorders>
            <w:shd w:val="clear" w:color="auto" w:fill="auto"/>
            <w:tcMar>
              <w:top w:w="0" w:type="dxa"/>
              <w:left w:w="0" w:type="dxa"/>
              <w:bottom w:w="0" w:type="dxa"/>
              <w:right w:w="0" w:type="dxa"/>
            </w:tcMar>
          </w:tcPr>
          <w:p w14:paraId="17C76A47" w14:textId="77777777" w:rsidR="0006077B" w:rsidRDefault="0006077B">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844E51B" w14:textId="77777777" w:rsidR="0006077B" w:rsidRDefault="0006077B">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616294E" w14:textId="77777777" w:rsidR="0006077B" w:rsidRDefault="0006077B">
            <w:pPr>
              <w:keepNext/>
              <w:keepLines/>
              <w:rPr>
                <w:sz w:val="14"/>
                <w:szCs w:val="14"/>
              </w:rPr>
            </w:pPr>
          </w:p>
        </w:tc>
      </w:tr>
      <w:tr w:rsidR="0006077B" w14:paraId="6B48BC2B" w14:textId="77777777">
        <w:tc>
          <w:tcPr>
            <w:tcW w:w="2444" w:type="pct"/>
            <w:tcBorders>
              <w:top w:val="nil"/>
              <w:left w:val="nil"/>
              <w:bottom w:val="nil"/>
              <w:right w:val="nil"/>
            </w:tcBorders>
            <w:shd w:val="clear" w:color="auto" w:fill="auto"/>
            <w:tcMar>
              <w:top w:w="0" w:type="dxa"/>
              <w:left w:w="0" w:type="dxa"/>
              <w:bottom w:w="0" w:type="dxa"/>
              <w:right w:w="0" w:type="dxa"/>
            </w:tcMar>
          </w:tcPr>
          <w:p w14:paraId="323BE1FC" w14:textId="77777777" w:rsidR="0006077B" w:rsidRDefault="009E234D">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3E595F7B" w14:textId="77777777" w:rsidR="0006077B" w:rsidRDefault="0006077B">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5B0D0D9" w14:textId="77777777" w:rsidR="0006077B" w:rsidRDefault="009E234D">
            <w:pPr>
              <w:keepNext/>
              <w:keepLines/>
              <w:rPr>
                <w:sz w:val="14"/>
                <w:szCs w:val="14"/>
              </w:rPr>
            </w:pPr>
            <w:r>
              <w:rPr>
                <w:sz w:val="14"/>
                <w:szCs w:val="14"/>
              </w:rPr>
              <w:t>4.</w:t>
            </w:r>
          </w:p>
        </w:tc>
      </w:tr>
      <w:tr w:rsidR="0006077B" w14:paraId="66EF566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067A552" w14:textId="77777777" w:rsidR="0006077B" w:rsidRDefault="009E234D">
            <w:pPr>
              <w:keepNext/>
              <w:keepLines/>
              <w:rPr>
                <w:sz w:val="14"/>
                <w:szCs w:val="14"/>
              </w:rPr>
            </w:pPr>
            <w:r>
              <w:rPr>
                <w:noProof/>
                <w:sz w:val="14"/>
                <w:szCs w:val="14"/>
              </w:rPr>
              <w:drawing>
                <wp:inline distT="0" distB="0" distL="0" distR="0" wp14:anchorId="05B2CCB2" wp14:editId="37636FED">
                  <wp:extent cx="13436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33E239E" w14:textId="77777777" w:rsidR="0006077B" w:rsidRDefault="0006077B">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1E91C4D" w14:textId="77777777" w:rsidR="0006077B" w:rsidRDefault="009E234D">
            <w:pPr>
              <w:keepNext/>
              <w:keepLines/>
              <w:rPr>
                <w:sz w:val="14"/>
                <w:szCs w:val="14"/>
              </w:rPr>
            </w:pPr>
            <w:r>
              <w:rPr>
                <w:noProof/>
                <w:sz w:val="14"/>
                <w:szCs w:val="14"/>
              </w:rPr>
              <w:drawing>
                <wp:inline distT="0" distB="0" distL="0" distR="0" wp14:anchorId="7CC9B7D4" wp14:editId="619E2CF6">
                  <wp:extent cx="13436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1343660" cy="2014220"/>
                          </a:xfrm>
                          <a:prstGeom prst="rect">
                            <a:avLst/>
                          </a:prstGeom>
                        </pic:spPr>
                      </pic:pic>
                    </a:graphicData>
                  </a:graphic>
                </wp:inline>
              </w:drawing>
            </w:r>
          </w:p>
        </w:tc>
      </w:tr>
    </w:tbl>
    <w:p w14:paraId="06D32A4D" w14:textId="77777777" w:rsidR="0006077B" w:rsidRDefault="009E234D">
      <w:r>
        <w:br w:type="page"/>
      </w:r>
    </w:p>
    <w:p w14:paraId="6E0A793A" w14:textId="77777777" w:rsidR="0006077B" w:rsidRDefault="009E234D">
      <w:pPr>
        <w:rPr>
          <w:sz w:val="17"/>
          <w:szCs w:val="17"/>
        </w:rPr>
      </w:pPr>
      <w:r>
        <w:rPr>
          <w:b/>
          <w:sz w:val="17"/>
          <w:szCs w:val="17"/>
        </w:rPr>
        <w:lastRenderedPageBreak/>
        <w:t>5</w:t>
      </w:r>
      <w:r>
        <w:rPr>
          <w:sz w:val="17"/>
          <w:szCs w:val="17"/>
        </w:rPr>
        <w:t xml:space="preserve"> Besucherinnen und Besucher kommen an den von Emi Morita gestalteten Zen-Gärten mit TOTO Produkten vorbei und bewegen sich durch eine Galerie, in der moderne Materialien nach traditionellem Vorbild von japanischen Kunsthandwerkern ausgestellt sind.</w:t>
      </w:r>
      <w:r>
        <w:rPr>
          <w:sz w:val="17"/>
          <w:szCs w:val="17"/>
        </w:rPr>
        <w:t xml:space="preserve"> Kuratiert sind diese von CIPANGO, einem sozialen Design-Unternehmen aus Japan. Foto: TOTO</w:t>
      </w:r>
      <w:r>
        <w:rPr>
          <w:sz w:val="17"/>
          <w:szCs w:val="17"/>
        </w:rPr>
        <w:br/>
      </w:r>
    </w:p>
    <w:p w14:paraId="22D99B2F" w14:textId="77777777" w:rsidR="0006077B" w:rsidRDefault="009E234D">
      <w:pPr>
        <w:rPr>
          <w:sz w:val="17"/>
          <w:szCs w:val="17"/>
        </w:rPr>
      </w:pPr>
      <w:r>
        <w:rPr>
          <w:b/>
          <w:sz w:val="17"/>
          <w:szCs w:val="17"/>
        </w:rPr>
        <w:t>6</w:t>
      </w:r>
      <w:r>
        <w:rPr>
          <w:sz w:val="17"/>
          <w:szCs w:val="17"/>
        </w:rPr>
        <w:t xml:space="preserve"> CIPANGO setzt sich dafür ein, traditionelle Techniken und Materialien zu bewahren und ihre Vielseitigkeit einem internationalen Publikum zu präsentieren. Foto: TOTO</w:t>
      </w:r>
      <w:r>
        <w:rPr>
          <w:sz w:val="17"/>
          <w:szCs w:val="17"/>
        </w:rPr>
        <w:br/>
      </w:r>
    </w:p>
    <w:p w14:paraId="11233052" w14:textId="77777777" w:rsidR="0006077B" w:rsidRDefault="009E234D">
      <w:pPr>
        <w:rPr>
          <w:sz w:val="17"/>
          <w:szCs w:val="17"/>
        </w:rPr>
      </w:pPr>
      <w:r>
        <w:rPr>
          <w:b/>
          <w:sz w:val="17"/>
          <w:szCs w:val="17"/>
        </w:rPr>
        <w:t>7</w:t>
      </w:r>
      <w:r>
        <w:rPr>
          <w:sz w:val="17"/>
          <w:szCs w:val="17"/>
        </w:rPr>
        <w:t xml:space="preserve"> Das Konzept des vom Londoner Architekturbüro Squire &amp; Partners entworfenen Teeraum basi</w:t>
      </w:r>
      <w:r>
        <w:rPr>
          <w:sz w:val="17"/>
          <w:szCs w:val="17"/>
        </w:rPr>
        <w:t>ert auf einem geschichteten Teegarten, den man durchquert, um zum Teehaus zu gelangen. Er nutzt die modern interpretierten Materialien, die von CIPANGO Kunsthandwerkern auf traditionelle Weise hergestellt wurden.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06077B" w14:paraId="6C0C7506" w14:textId="77777777">
        <w:tc>
          <w:tcPr>
            <w:tcW w:w="2444" w:type="pct"/>
            <w:tcBorders>
              <w:top w:val="nil"/>
              <w:left w:val="nil"/>
              <w:bottom w:val="nil"/>
              <w:right w:val="nil"/>
            </w:tcBorders>
            <w:shd w:val="clear" w:color="auto" w:fill="auto"/>
            <w:tcMar>
              <w:top w:w="0" w:type="dxa"/>
              <w:left w:w="0" w:type="dxa"/>
              <w:bottom w:w="0" w:type="dxa"/>
              <w:right w:w="0" w:type="dxa"/>
            </w:tcMar>
          </w:tcPr>
          <w:p w14:paraId="0E016FE4" w14:textId="77777777" w:rsidR="0006077B" w:rsidRDefault="009E234D">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682E36D9" w14:textId="77777777" w:rsidR="0006077B" w:rsidRDefault="0006077B">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FFB0570" w14:textId="77777777" w:rsidR="0006077B" w:rsidRDefault="009E234D">
            <w:pPr>
              <w:keepNext/>
              <w:keepLines/>
              <w:rPr>
                <w:sz w:val="14"/>
                <w:szCs w:val="14"/>
              </w:rPr>
            </w:pPr>
            <w:r>
              <w:rPr>
                <w:sz w:val="14"/>
                <w:szCs w:val="14"/>
              </w:rPr>
              <w:t>6.</w:t>
            </w:r>
          </w:p>
        </w:tc>
      </w:tr>
      <w:tr w:rsidR="0006077B" w14:paraId="1677981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4F25121" w14:textId="77777777" w:rsidR="0006077B" w:rsidRDefault="009E234D">
            <w:pPr>
              <w:keepNext/>
              <w:keepLines/>
              <w:rPr>
                <w:sz w:val="14"/>
                <w:szCs w:val="14"/>
              </w:rPr>
            </w:pPr>
            <w:r>
              <w:rPr>
                <w:noProof/>
                <w:sz w:val="14"/>
                <w:szCs w:val="14"/>
              </w:rPr>
              <w:drawing>
                <wp:inline distT="0" distB="0" distL="0" distR="0" wp14:anchorId="0C2FB768" wp14:editId="1D9BC2B0">
                  <wp:extent cx="250507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250507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F1F32D5" w14:textId="77777777" w:rsidR="0006077B" w:rsidRDefault="0006077B">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AEDF908" w14:textId="77777777" w:rsidR="0006077B" w:rsidRDefault="009E234D">
            <w:pPr>
              <w:keepNext/>
              <w:keepLines/>
              <w:rPr>
                <w:sz w:val="14"/>
                <w:szCs w:val="14"/>
              </w:rPr>
            </w:pPr>
            <w:r>
              <w:rPr>
                <w:noProof/>
                <w:sz w:val="14"/>
                <w:szCs w:val="14"/>
              </w:rPr>
              <w:drawing>
                <wp:inline distT="0" distB="0" distL="0" distR="0" wp14:anchorId="7B888C5C" wp14:editId="407DAEFE">
                  <wp:extent cx="30232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3023235" cy="2014220"/>
                          </a:xfrm>
                          <a:prstGeom prst="rect">
                            <a:avLst/>
                          </a:prstGeom>
                        </pic:spPr>
                      </pic:pic>
                    </a:graphicData>
                  </a:graphic>
                </wp:inline>
              </w:drawing>
            </w:r>
          </w:p>
        </w:tc>
      </w:tr>
      <w:tr w:rsidR="0006077B" w14:paraId="470018CB" w14:textId="77777777">
        <w:tc>
          <w:tcPr>
            <w:tcW w:w="2444" w:type="pct"/>
            <w:tcBorders>
              <w:top w:val="nil"/>
              <w:left w:val="nil"/>
              <w:bottom w:val="nil"/>
              <w:right w:val="nil"/>
            </w:tcBorders>
            <w:shd w:val="clear" w:color="auto" w:fill="auto"/>
            <w:tcMar>
              <w:top w:w="0" w:type="dxa"/>
              <w:left w:w="0" w:type="dxa"/>
              <w:bottom w:w="0" w:type="dxa"/>
              <w:right w:w="0" w:type="dxa"/>
            </w:tcMar>
          </w:tcPr>
          <w:p w14:paraId="0511E799" w14:textId="77777777" w:rsidR="0006077B" w:rsidRDefault="0006077B">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AEE9221" w14:textId="77777777" w:rsidR="0006077B" w:rsidRDefault="0006077B">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D68C2A5" w14:textId="77777777" w:rsidR="0006077B" w:rsidRDefault="0006077B">
            <w:pPr>
              <w:keepNext/>
              <w:keepLines/>
              <w:rPr>
                <w:sz w:val="14"/>
                <w:szCs w:val="14"/>
              </w:rPr>
            </w:pPr>
          </w:p>
        </w:tc>
      </w:tr>
      <w:tr w:rsidR="0006077B" w14:paraId="4846B239" w14:textId="77777777">
        <w:tc>
          <w:tcPr>
            <w:tcW w:w="2444" w:type="pct"/>
            <w:tcBorders>
              <w:top w:val="nil"/>
              <w:left w:val="nil"/>
              <w:bottom w:val="nil"/>
              <w:right w:val="nil"/>
            </w:tcBorders>
            <w:shd w:val="clear" w:color="auto" w:fill="auto"/>
            <w:tcMar>
              <w:top w:w="0" w:type="dxa"/>
              <w:left w:w="0" w:type="dxa"/>
              <w:bottom w:w="0" w:type="dxa"/>
              <w:right w:w="0" w:type="dxa"/>
            </w:tcMar>
          </w:tcPr>
          <w:p w14:paraId="69C41051" w14:textId="77777777" w:rsidR="0006077B" w:rsidRDefault="009E234D">
            <w:pPr>
              <w:keepNext/>
              <w:keepLines/>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21B2D4D6" w14:textId="77777777" w:rsidR="0006077B" w:rsidRDefault="0006077B">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49BCE50" w14:textId="77777777" w:rsidR="0006077B" w:rsidRDefault="0006077B">
            <w:pPr>
              <w:keepNext/>
              <w:keepLines/>
              <w:rPr>
                <w:sz w:val="14"/>
                <w:szCs w:val="14"/>
              </w:rPr>
            </w:pPr>
          </w:p>
        </w:tc>
      </w:tr>
      <w:tr w:rsidR="0006077B" w14:paraId="2094237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B300268" w14:textId="77777777" w:rsidR="0006077B" w:rsidRDefault="009E234D">
            <w:pPr>
              <w:keepNext/>
              <w:keepLines/>
              <w:rPr>
                <w:sz w:val="14"/>
                <w:szCs w:val="14"/>
              </w:rPr>
            </w:pPr>
            <w:r>
              <w:rPr>
                <w:noProof/>
                <w:sz w:val="14"/>
                <w:szCs w:val="14"/>
              </w:rPr>
              <w:drawing>
                <wp:inline distT="0" distB="0" distL="0" distR="0" wp14:anchorId="30AF0CA2" wp14:editId="46846BD5">
                  <wp:extent cx="268478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BD9377B" w14:textId="77777777" w:rsidR="0006077B" w:rsidRDefault="0006077B">
            <w:pPr>
              <w:keepNext/>
              <w:keepLines/>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37325282" w14:textId="77777777" w:rsidR="0006077B" w:rsidRDefault="0006077B">
            <w:pPr>
              <w:keepNext/>
              <w:keepLines/>
              <w:rPr>
                <w:sz w:val="17"/>
                <w:szCs w:val="17"/>
              </w:rPr>
            </w:pPr>
          </w:p>
        </w:tc>
      </w:tr>
    </w:tbl>
    <w:p w14:paraId="6E223937" w14:textId="77777777" w:rsidR="0006077B" w:rsidRDefault="009E234D">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06077B" w14:paraId="41252A05" w14:textId="77777777">
        <w:tc>
          <w:tcPr>
            <w:tcW w:w="3800" w:type="pct"/>
            <w:tcBorders>
              <w:top w:val="nil"/>
              <w:left w:val="nil"/>
              <w:bottom w:val="nil"/>
              <w:right w:val="nil"/>
            </w:tcBorders>
            <w:shd w:val="clear" w:color="auto" w:fill="auto"/>
            <w:tcMar>
              <w:top w:w="0" w:type="dxa"/>
              <w:left w:w="0" w:type="dxa"/>
              <w:bottom w:w="0" w:type="dxa"/>
              <w:right w:w="227" w:type="dxa"/>
            </w:tcMar>
          </w:tcPr>
          <w:p w14:paraId="31F9E5C6" w14:textId="77777777" w:rsidR="0006077B" w:rsidRDefault="009E234D">
            <w:pPr>
              <w:spacing w:before="240" w:after="240"/>
              <w:rPr>
                <w:sz w:val="20"/>
                <w:szCs w:val="20"/>
              </w:rPr>
            </w:pPr>
            <w:r>
              <w:rPr>
                <w:b/>
                <w:sz w:val="20"/>
                <w:szCs w:val="20"/>
              </w:rPr>
              <w:lastRenderedPageBreak/>
              <w:t>Über TOTO Europe</w:t>
            </w:r>
          </w:p>
          <w:p w14:paraId="5AF09AE5" w14:textId="77777777" w:rsidR="0006077B" w:rsidRDefault="009E234D">
            <w:pPr>
              <w:spacing w:before="240" w:after="240"/>
              <w:rPr>
                <w:sz w:val="20"/>
                <w:szCs w:val="20"/>
              </w:rPr>
            </w:pPr>
            <w:r>
              <w:rPr>
                <w:sz w:val="20"/>
                <w:szCs w:val="20"/>
              </w:rPr>
              <w:t>Bei TOTO, das zu den führenden internationalen Sanitärunternehmen zählt, steht der Mensch und sein Wohlbefinden im Mittelpunkt. Bereits 1917 in Kitakyushu, Japan, gegründet, entwickelt, produziert und vertreibt TOTO seit 2009 seine ganz</w:t>
            </w:r>
            <w:r>
              <w:rPr>
                <w:sz w:val="20"/>
                <w:szCs w:val="20"/>
              </w:rPr>
              <w:t>heitlichen Badezimmerkonzepte für gehobene Ansprüche auch in Europa. Das Ziel ist es, durch Regeneration, Komfort und Hygiene ein neues Lebensgefühl zu schaffen und die Technik intelligent und nahezu unsichtbar in das Design zu integrieren. Japans führende</w:t>
            </w:r>
            <w:r>
              <w:rPr>
                <w:sz w:val="20"/>
                <w:szCs w:val="20"/>
              </w:rPr>
              <w:t>r Hersteller präsentiert als Komplettbadanbieter Sanitärkeramik, Armaturen und Accessoires. Das Unternehmen kann mittlerweile auf über 40 Jahre Entwicklung und Herstellung von WASHLET zurückblicken und hat bisher weltweit über 60 Mio. Stück verkauft. Auf d</w:t>
            </w:r>
            <w:r>
              <w:rPr>
                <w:sz w:val="20"/>
                <w:szCs w:val="20"/>
              </w:rPr>
              <w:t>em Weg zu einem nachhaltig ausgerichteten Unternehmen, das die Entwicklung hin zu einer vollständig emissionsfreien Gesellschaft unterstützt, zeigt TOTO ein hohes Engagement: Mit dem Beitritt zur Initiative RE100 bekennt sich die TOTO-Unternehmensgruppe da</w:t>
            </w:r>
            <w:r>
              <w:rPr>
                <w:sz w:val="20"/>
                <w:szCs w:val="20"/>
              </w:rPr>
              <w:t xml:space="preserve">zu, an allen Standorten bis zum Jahr 2040 vollständig auf Strom aus erneuerbaren Energien umzustellen. Im Juni 2021 erfolgte die Zertifizierung der </w:t>
            </w:r>
            <w:hyperlink r:id="rId15">
              <w:r>
                <w:rPr>
                  <w:rStyle w:val="Hyperlink"/>
                  <w:color w:val="000000"/>
                  <w:sz w:val="20"/>
                  <w:szCs w:val="20"/>
                </w:rPr>
                <w:t xml:space="preserve">Science Based Targets </w:t>
              </w:r>
            </w:hyperlink>
            <w:r>
              <w:rPr>
                <w:sz w:val="20"/>
                <w:szCs w:val="20"/>
              </w:rPr>
              <w:t xml:space="preserve">Initiative (SBT), um </w:t>
            </w:r>
            <w:r>
              <w:rPr>
                <w:sz w:val="20"/>
                <w:szCs w:val="20"/>
              </w:rPr>
              <w:t>die Reduzierung von Treibhausgasen im Einklang mit dem Pariser Abkommen zu erreichen und auf dieser Grundlage die CO</w:t>
            </w:r>
            <w:r>
              <w:rPr>
                <w:sz w:val="20"/>
                <w:szCs w:val="20"/>
                <w:vertAlign w:val="subscript"/>
              </w:rPr>
              <w:t>2</w:t>
            </w:r>
            <w:r>
              <w:rPr>
                <w:sz w:val="20"/>
                <w:szCs w:val="20"/>
              </w:rPr>
              <w:t>-Emissionen systematisch weiter zu reduzieren. Weltweit arbeiten mehr als 36000 Menschen bei TOTO.</w:t>
            </w:r>
          </w:p>
          <w:p w14:paraId="5B732559" w14:textId="77777777" w:rsidR="0006077B" w:rsidRDefault="009E234D" w:rsidP="0080139F">
            <w:pPr>
              <w:spacing w:before="240" w:after="240"/>
              <w:rPr>
                <w:sz w:val="20"/>
                <w:szCs w:val="20"/>
              </w:rPr>
            </w:pPr>
            <w:r>
              <w:rPr>
                <w:sz w:val="20"/>
                <w:szCs w:val="20"/>
              </w:rPr>
              <w:t xml:space="preserve">Mehr über TOTO: </w:t>
            </w:r>
            <w:hyperlink r:id="rId16" w:tgtFrame="_blank">
              <w:r>
                <w:rPr>
                  <w:rStyle w:val="Hyperlink"/>
                  <w:color w:val="000000"/>
                  <w:sz w:val="20"/>
                  <w:szCs w:val="20"/>
                </w:rPr>
                <w:t>eu.toto.com</w:t>
              </w:r>
            </w:hyperlink>
          </w:p>
        </w:tc>
        <w:tc>
          <w:tcPr>
            <w:tcW w:w="1200" w:type="pct"/>
            <w:tcBorders>
              <w:top w:val="nil"/>
              <w:left w:val="nil"/>
              <w:bottom w:val="nil"/>
              <w:right w:val="nil"/>
            </w:tcBorders>
            <w:shd w:val="clear" w:color="auto" w:fill="auto"/>
            <w:tcMar>
              <w:top w:w="0" w:type="dxa"/>
              <w:left w:w="0" w:type="dxa"/>
              <w:bottom w:w="0" w:type="dxa"/>
              <w:right w:w="227" w:type="dxa"/>
            </w:tcMar>
          </w:tcPr>
          <w:p w14:paraId="6B6C9F38" w14:textId="77777777" w:rsidR="0006077B" w:rsidRDefault="009E234D">
            <w:pPr>
              <w:rPr>
                <w:sz w:val="20"/>
                <w:szCs w:val="20"/>
              </w:rPr>
            </w:pPr>
            <w:r>
              <w:rPr>
                <w:sz w:val="20"/>
                <w:szCs w:val="20"/>
              </w:rPr>
              <w:br/>
            </w:r>
          </w:p>
        </w:tc>
      </w:tr>
    </w:tbl>
    <w:p w14:paraId="49C9D343" w14:textId="77777777" w:rsidR="0006077B" w:rsidRDefault="0006077B" w:rsidP="0080139F"/>
    <w:sectPr w:rsidR="0006077B">
      <w:headerReference w:type="default" r:id="rId17"/>
      <w:footerReference w:type="default" r:id="rId18"/>
      <w:headerReference w:type="first" r:id="rId19"/>
      <w:footerReference w:type="first" r:id="rId20"/>
      <w:pgSz w:w="11906" w:h="16838"/>
      <w:pgMar w:top="1701" w:right="1020" w:bottom="170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292EC" w14:textId="77777777" w:rsidR="00FE26DF" w:rsidRDefault="00FE26DF">
      <w:pPr>
        <w:spacing w:line="240" w:lineRule="auto"/>
      </w:pPr>
      <w:r>
        <w:separator/>
      </w:r>
    </w:p>
  </w:endnote>
  <w:endnote w:type="continuationSeparator" w:id="0">
    <w:p w14:paraId="3E020B3B" w14:textId="77777777" w:rsidR="00FE26DF" w:rsidRDefault="00FE26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06077B" w14:paraId="6AD5BCDF"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06077B" w:rsidRPr="00E764AD" w14:paraId="45B17EEA" w14:textId="77777777">
            <w:trPr>
              <w:tblCellSpacing w:w="0" w:type="dxa"/>
            </w:trPr>
            <w:tc>
              <w:tcPr>
                <w:tcW w:w="15" w:type="dxa"/>
                <w:tcBorders>
                  <w:left w:val="single" w:sz="6" w:space="0" w:color="000000"/>
                </w:tcBorders>
                <w:shd w:val="clear" w:color="auto" w:fill="FFFFFF"/>
                <w:vAlign w:val="center"/>
                <w:hideMark/>
              </w:tcPr>
              <w:p w14:paraId="510DE250" w14:textId="77777777" w:rsidR="0006077B" w:rsidRDefault="009E234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1CAFEB5C" w14:textId="77777777" w:rsidR="0006077B" w:rsidRDefault="009E234D">
                <w:pPr>
                  <w:rPr>
                    <w:sz w:val="10"/>
                    <w:szCs w:val="10"/>
                  </w:rPr>
                </w:pPr>
                <w:r>
                  <w:rPr>
                    <w:sz w:val="10"/>
                    <w:szCs w:val="10"/>
                  </w:rPr>
                  <w:t> </w:t>
                </w:r>
              </w:p>
            </w:tc>
            <w:tc>
              <w:tcPr>
                <w:tcW w:w="850" w:type="pct"/>
                <w:vAlign w:val="center"/>
                <w:hideMark/>
              </w:tcPr>
              <w:p w14:paraId="23E4E929" w14:textId="77777777" w:rsidR="0006077B" w:rsidRDefault="009E234D">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1FD1A157" w14:textId="77777777" w:rsidR="0006077B" w:rsidRDefault="009E234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4827391B" w14:textId="77777777" w:rsidR="0006077B" w:rsidRDefault="009E234D">
                <w:pPr>
                  <w:rPr>
                    <w:sz w:val="10"/>
                    <w:szCs w:val="10"/>
                  </w:rPr>
                </w:pPr>
                <w:r>
                  <w:rPr>
                    <w:sz w:val="10"/>
                    <w:szCs w:val="10"/>
                  </w:rPr>
                  <w:t> </w:t>
                </w:r>
              </w:p>
            </w:tc>
            <w:tc>
              <w:tcPr>
                <w:tcW w:w="850" w:type="pct"/>
                <w:vAlign w:val="center"/>
                <w:hideMark/>
              </w:tcPr>
              <w:p w14:paraId="23C6AAFC" w14:textId="77777777" w:rsidR="0006077B" w:rsidRDefault="009E234D">
                <w:pPr>
                  <w:rPr>
                    <w:sz w:val="10"/>
                    <w:szCs w:val="10"/>
                  </w:rPr>
                </w:pPr>
                <w:r>
                  <w:rPr>
                    <w:sz w:val="10"/>
                    <w:szCs w:val="10"/>
                  </w:rPr>
                  <w:t>T +49 (0)211 2 73 08-200</w:t>
                </w:r>
                <w:r>
                  <w:rPr>
                    <w:sz w:val="10"/>
                    <w:szCs w:val="10"/>
                  </w:rPr>
                  <w:br/>
                  <w:t>F +49 (0)211 2 73 08-202</w:t>
                </w:r>
                <w:r>
                  <w:rPr>
                    <w:sz w:val="10"/>
                    <w:szCs w:val="10"/>
                  </w:rPr>
                  <w:br/>
                </w:r>
                <w:r>
                  <w:rPr>
                    <w:sz w:val="10"/>
                    <w:szCs w:val="10"/>
                  </w:rPr>
                  <w:t>teu.info@toto.com</w:t>
                </w:r>
                <w:r>
                  <w:rPr>
                    <w:sz w:val="10"/>
                    <w:szCs w:val="10"/>
                  </w:rPr>
                  <w:br/>
                  <w:t>eu.toto.com</w:t>
                </w:r>
              </w:p>
            </w:tc>
            <w:tc>
              <w:tcPr>
                <w:tcW w:w="15" w:type="dxa"/>
                <w:tcBorders>
                  <w:left w:val="single" w:sz="6" w:space="0" w:color="000000"/>
                </w:tcBorders>
                <w:shd w:val="clear" w:color="auto" w:fill="FFFFFF"/>
                <w:vAlign w:val="center"/>
                <w:hideMark/>
              </w:tcPr>
              <w:p w14:paraId="179A47C9" w14:textId="77777777" w:rsidR="0006077B" w:rsidRDefault="009E234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14C0B361" w14:textId="77777777" w:rsidR="0006077B" w:rsidRDefault="009E234D">
                <w:pPr>
                  <w:rPr>
                    <w:sz w:val="10"/>
                    <w:szCs w:val="10"/>
                  </w:rPr>
                </w:pPr>
                <w:r>
                  <w:rPr>
                    <w:sz w:val="10"/>
                    <w:szCs w:val="10"/>
                  </w:rPr>
                  <w:t> </w:t>
                </w:r>
              </w:p>
            </w:tc>
            <w:tc>
              <w:tcPr>
                <w:tcW w:w="1150" w:type="pct"/>
                <w:vAlign w:val="center"/>
                <w:hideMark/>
              </w:tcPr>
              <w:p w14:paraId="3FAE3D0C" w14:textId="77777777" w:rsidR="0006077B" w:rsidRDefault="009E234D">
                <w:pPr>
                  <w:rPr>
                    <w:sz w:val="10"/>
                    <w:szCs w:val="10"/>
                  </w:rPr>
                </w:pPr>
                <w:r>
                  <w:rPr>
                    <w:sz w:val="10"/>
                    <w:szCs w:val="10"/>
                  </w:rPr>
                  <w:t>Commerzbank AG Essen</w:t>
                </w:r>
                <w:r>
                  <w:rPr>
                    <w:sz w:val="10"/>
                    <w:szCs w:val="10"/>
                  </w:rPr>
                  <w:br/>
                  <w:t>BLZ: 360 400 39 .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1A68C0AA" w14:textId="77777777" w:rsidR="0006077B" w:rsidRDefault="009E234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FB4024A" w14:textId="77777777" w:rsidR="0006077B" w:rsidRDefault="009E234D">
                <w:pPr>
                  <w:rPr>
                    <w:sz w:val="10"/>
                    <w:szCs w:val="10"/>
                  </w:rPr>
                </w:pPr>
                <w:r>
                  <w:rPr>
                    <w:sz w:val="10"/>
                    <w:szCs w:val="10"/>
                  </w:rPr>
                  <w:t> </w:t>
                </w:r>
              </w:p>
            </w:tc>
            <w:tc>
              <w:tcPr>
                <w:tcW w:w="1050" w:type="pct"/>
                <w:vAlign w:val="center"/>
                <w:hideMark/>
              </w:tcPr>
              <w:p w14:paraId="77C8A420" w14:textId="77777777" w:rsidR="0006077B" w:rsidRDefault="009E234D">
                <w:pPr>
                  <w:rPr>
                    <w:sz w:val="10"/>
                    <w:szCs w:val="10"/>
                  </w:rPr>
                </w:pPr>
                <w:r>
                  <w:rPr>
                    <w:sz w:val="10"/>
                    <w:szCs w:val="10"/>
                  </w:rPr>
                  <w:t>AG Düsseldorf . HRB 24827</w:t>
                </w:r>
                <w:r>
                  <w:rPr>
                    <w:sz w:val="10"/>
                    <w:szCs w:val="10"/>
                  </w:rPr>
                  <w:br/>
                  <w:t>Managing Directors:</w:t>
                </w:r>
                <w:r>
                  <w:rPr>
                    <w:sz w:val="10"/>
                    <w:szCs w:val="10"/>
                  </w:rPr>
                  <w:br/>
                  <w:t>Shinya Tamura, Tatsuhiko Yasaka</w:t>
                </w:r>
                <w:r>
                  <w:rPr>
                    <w:sz w:val="10"/>
                    <w:szCs w:val="10"/>
                  </w:rPr>
                  <w:br/>
                  <w:t>  </w:t>
                </w:r>
              </w:p>
            </w:tc>
            <w:tc>
              <w:tcPr>
                <w:tcW w:w="15" w:type="dxa"/>
                <w:tcBorders>
                  <w:left w:val="single" w:sz="6" w:space="0" w:color="000000"/>
                </w:tcBorders>
                <w:shd w:val="clear" w:color="auto" w:fill="FFFFFF"/>
                <w:vAlign w:val="center"/>
                <w:hideMark/>
              </w:tcPr>
              <w:p w14:paraId="674D5842" w14:textId="77777777" w:rsidR="0006077B" w:rsidRDefault="009E234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1D3FC6E7" w14:textId="77777777" w:rsidR="0006077B" w:rsidRDefault="009E234D">
                <w:pPr>
                  <w:rPr>
                    <w:sz w:val="10"/>
                    <w:szCs w:val="10"/>
                  </w:rPr>
                </w:pPr>
                <w:r>
                  <w:rPr>
                    <w:sz w:val="10"/>
                    <w:szCs w:val="10"/>
                  </w:rPr>
                  <w:t> </w:t>
                </w:r>
              </w:p>
            </w:tc>
            <w:tc>
              <w:tcPr>
                <w:tcW w:w="850" w:type="pct"/>
                <w:vAlign w:val="center"/>
                <w:hideMark/>
              </w:tcPr>
              <w:p w14:paraId="32BE471D" w14:textId="77777777" w:rsidR="0006077B" w:rsidRPr="0080139F" w:rsidRDefault="009E234D">
                <w:pPr>
                  <w:rPr>
                    <w:sz w:val="10"/>
                    <w:szCs w:val="10"/>
                    <w:lang w:val="en-US"/>
                  </w:rPr>
                </w:pPr>
                <w:r w:rsidRPr="0080139F">
                  <w:rPr>
                    <w:sz w:val="10"/>
                    <w:szCs w:val="10"/>
                    <w:lang w:val="en-US"/>
                  </w:rPr>
                  <w:t xml:space="preserve">WEEE-Reg.-Nr. DE </w:t>
                </w:r>
                <w:r w:rsidRPr="0080139F">
                  <w:rPr>
                    <w:sz w:val="10"/>
                    <w:szCs w:val="10"/>
                    <w:lang w:val="en-US"/>
                  </w:rPr>
                  <w:t>88787165</w:t>
                </w:r>
                <w:r w:rsidRPr="0080139F">
                  <w:rPr>
                    <w:sz w:val="10"/>
                    <w:szCs w:val="10"/>
                    <w:lang w:val="en-US"/>
                  </w:rPr>
                  <w:br/>
                  <w:t>USTID-NR: DE258501442</w:t>
                </w:r>
                <w:r w:rsidRPr="0080139F">
                  <w:rPr>
                    <w:sz w:val="10"/>
                    <w:szCs w:val="10"/>
                    <w:lang w:val="en-US"/>
                  </w:rPr>
                  <w:br/>
                  <w:t>ST-NR: 106/5727/1323</w:t>
                </w:r>
                <w:r w:rsidRPr="0080139F">
                  <w:rPr>
                    <w:sz w:val="10"/>
                    <w:szCs w:val="10"/>
                    <w:lang w:val="en-US"/>
                  </w:rPr>
                  <w:br/>
                  <w:t>  </w:t>
                </w:r>
              </w:p>
            </w:tc>
            <w:tc>
              <w:tcPr>
                <w:tcW w:w="28" w:type="dxa"/>
                <w:vAlign w:val="center"/>
                <w:hideMark/>
              </w:tcPr>
              <w:p w14:paraId="48BAEA0B" w14:textId="77777777" w:rsidR="0006077B" w:rsidRPr="0080139F" w:rsidRDefault="009E234D">
                <w:pPr>
                  <w:rPr>
                    <w:sz w:val="10"/>
                    <w:szCs w:val="10"/>
                    <w:lang w:val="en-US"/>
                  </w:rPr>
                </w:pPr>
                <w:r w:rsidRPr="0080139F">
                  <w:rPr>
                    <w:sz w:val="10"/>
                    <w:szCs w:val="10"/>
                    <w:lang w:val="en-US"/>
                  </w:rPr>
                  <w:t> </w:t>
                </w:r>
              </w:p>
            </w:tc>
          </w:tr>
        </w:tbl>
        <w:p w14:paraId="455EA575" w14:textId="77777777" w:rsidR="0006077B" w:rsidRPr="0080139F" w:rsidRDefault="0006077B">
          <w:pPr>
            <w:rPr>
              <w:sz w:val="10"/>
              <w:szCs w:val="10"/>
              <w:lang w:val="en-US"/>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AFE5A29" w14:textId="77777777" w:rsidR="0006077B" w:rsidRDefault="009E234D">
          <w:pPr>
            <w:rPr>
              <w:sz w:val="10"/>
              <w:szCs w:val="10"/>
            </w:rPr>
          </w:pPr>
          <w:r>
            <w:rPr>
              <w:sz w:val="10"/>
              <w:szCs w:val="10"/>
            </w:rPr>
            <w:fldChar w:fldCharType="begin"/>
          </w:r>
          <w:r>
            <w:rPr>
              <w:sz w:val="10"/>
              <w:szCs w:val="10"/>
            </w:rPr>
            <w:instrText>PAGE \* ARABIC</w:instrText>
          </w:r>
          <w:r>
            <w:rPr>
              <w:sz w:val="10"/>
              <w:szCs w:val="10"/>
            </w:rPr>
            <w:fldChar w:fldCharType="separate"/>
          </w:r>
          <w:r>
            <w:rPr>
              <w:sz w:val="10"/>
              <w:szCs w:val="10"/>
            </w:rPr>
            <w:t>#</w:t>
          </w:r>
          <w:r>
            <w:rPr>
              <w:sz w:val="10"/>
              <w:szCs w:val="10"/>
            </w:rPr>
            <w:fldChar w:fldCharType="end"/>
          </w:r>
        </w:p>
      </w:tc>
    </w:tr>
  </w:tbl>
  <w:p w14:paraId="24BB9905" w14:textId="77777777" w:rsidR="0006077B" w:rsidRDefault="0006077B">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06077B" w:rsidRPr="00E764AD" w14:paraId="505909BD"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06077B" w:rsidRPr="00E764AD" w14:paraId="4D5F3206" w14:textId="77777777">
            <w:trPr>
              <w:tblCellSpacing w:w="0" w:type="dxa"/>
            </w:trPr>
            <w:tc>
              <w:tcPr>
                <w:tcW w:w="15" w:type="dxa"/>
                <w:tcBorders>
                  <w:left w:val="single" w:sz="6" w:space="0" w:color="000000"/>
                </w:tcBorders>
                <w:shd w:val="clear" w:color="auto" w:fill="FFFFFF"/>
                <w:vAlign w:val="center"/>
                <w:hideMark/>
              </w:tcPr>
              <w:p w14:paraId="5F78F9F8" w14:textId="77777777" w:rsidR="0006077B" w:rsidRDefault="009E234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F1A837F" w14:textId="77777777" w:rsidR="0006077B" w:rsidRDefault="009E234D">
                <w:pPr>
                  <w:rPr>
                    <w:sz w:val="10"/>
                    <w:szCs w:val="10"/>
                  </w:rPr>
                </w:pPr>
                <w:r>
                  <w:rPr>
                    <w:sz w:val="10"/>
                    <w:szCs w:val="10"/>
                  </w:rPr>
                  <w:t> </w:t>
                </w:r>
              </w:p>
            </w:tc>
            <w:tc>
              <w:tcPr>
                <w:tcW w:w="850" w:type="pct"/>
                <w:vAlign w:val="center"/>
                <w:hideMark/>
              </w:tcPr>
              <w:p w14:paraId="77338842" w14:textId="77777777" w:rsidR="0006077B" w:rsidRDefault="009E234D">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0EFF461D" w14:textId="77777777" w:rsidR="0006077B" w:rsidRDefault="009E234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2317D01" w14:textId="77777777" w:rsidR="0006077B" w:rsidRDefault="009E234D">
                <w:pPr>
                  <w:rPr>
                    <w:sz w:val="10"/>
                    <w:szCs w:val="10"/>
                  </w:rPr>
                </w:pPr>
                <w:r>
                  <w:rPr>
                    <w:sz w:val="10"/>
                    <w:szCs w:val="10"/>
                  </w:rPr>
                  <w:t> </w:t>
                </w:r>
              </w:p>
            </w:tc>
            <w:tc>
              <w:tcPr>
                <w:tcW w:w="850" w:type="pct"/>
                <w:vAlign w:val="center"/>
                <w:hideMark/>
              </w:tcPr>
              <w:p w14:paraId="6F959196" w14:textId="77777777" w:rsidR="0006077B" w:rsidRDefault="009E234D">
                <w:pPr>
                  <w:rPr>
                    <w:sz w:val="10"/>
                    <w:szCs w:val="10"/>
                  </w:rPr>
                </w:pPr>
                <w:r>
                  <w:rPr>
                    <w:sz w:val="10"/>
                    <w:szCs w:val="10"/>
                  </w:rPr>
                  <w:t>T +49 (0)211 2 73 08-200</w:t>
                </w:r>
                <w:r>
                  <w:rPr>
                    <w:sz w:val="10"/>
                    <w:szCs w:val="10"/>
                  </w:rPr>
                  <w:br/>
                  <w:t>F +49 (0)211 2 73 08-202</w:t>
                </w:r>
                <w:r>
                  <w:rPr>
                    <w:sz w:val="10"/>
                    <w:szCs w:val="10"/>
                  </w:rPr>
                  <w:br/>
                </w:r>
                <w:r>
                  <w:rPr>
                    <w:sz w:val="10"/>
                    <w:szCs w:val="10"/>
                  </w:rPr>
                  <w:t>teu.info@toto.com</w:t>
                </w:r>
                <w:r>
                  <w:rPr>
                    <w:sz w:val="10"/>
                    <w:szCs w:val="10"/>
                  </w:rPr>
                  <w:br/>
                  <w:t>eu.toto.com</w:t>
                </w:r>
              </w:p>
            </w:tc>
            <w:tc>
              <w:tcPr>
                <w:tcW w:w="15" w:type="dxa"/>
                <w:tcBorders>
                  <w:left w:val="single" w:sz="6" w:space="0" w:color="000000"/>
                </w:tcBorders>
                <w:shd w:val="clear" w:color="auto" w:fill="FFFFFF"/>
                <w:vAlign w:val="center"/>
                <w:hideMark/>
              </w:tcPr>
              <w:p w14:paraId="57FF1C01" w14:textId="77777777" w:rsidR="0006077B" w:rsidRDefault="009E234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0E23D95" w14:textId="77777777" w:rsidR="0006077B" w:rsidRDefault="009E234D">
                <w:pPr>
                  <w:rPr>
                    <w:sz w:val="10"/>
                    <w:szCs w:val="10"/>
                  </w:rPr>
                </w:pPr>
                <w:r>
                  <w:rPr>
                    <w:sz w:val="10"/>
                    <w:szCs w:val="10"/>
                  </w:rPr>
                  <w:t> </w:t>
                </w:r>
              </w:p>
            </w:tc>
            <w:tc>
              <w:tcPr>
                <w:tcW w:w="1150" w:type="pct"/>
                <w:vAlign w:val="center"/>
                <w:hideMark/>
              </w:tcPr>
              <w:p w14:paraId="32617A8F" w14:textId="77777777" w:rsidR="0006077B" w:rsidRDefault="009E234D">
                <w:pPr>
                  <w:rPr>
                    <w:sz w:val="10"/>
                    <w:szCs w:val="10"/>
                  </w:rPr>
                </w:pPr>
                <w:r>
                  <w:rPr>
                    <w:sz w:val="10"/>
                    <w:szCs w:val="10"/>
                  </w:rPr>
                  <w:t>Commerzbank AG Essen</w:t>
                </w:r>
                <w:r>
                  <w:rPr>
                    <w:sz w:val="10"/>
                    <w:szCs w:val="10"/>
                  </w:rPr>
                  <w:br/>
                  <w:t>BLZ: 360 400 39 .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60A79C7C" w14:textId="77777777" w:rsidR="0006077B" w:rsidRDefault="009E234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192B2767" w14:textId="77777777" w:rsidR="0006077B" w:rsidRDefault="009E234D">
                <w:pPr>
                  <w:rPr>
                    <w:sz w:val="10"/>
                    <w:szCs w:val="10"/>
                  </w:rPr>
                </w:pPr>
                <w:r>
                  <w:rPr>
                    <w:sz w:val="10"/>
                    <w:szCs w:val="10"/>
                  </w:rPr>
                  <w:t> </w:t>
                </w:r>
              </w:p>
            </w:tc>
            <w:tc>
              <w:tcPr>
                <w:tcW w:w="1050" w:type="pct"/>
                <w:vAlign w:val="center"/>
                <w:hideMark/>
              </w:tcPr>
              <w:p w14:paraId="2793528B" w14:textId="77777777" w:rsidR="0006077B" w:rsidRDefault="009E234D">
                <w:pPr>
                  <w:rPr>
                    <w:sz w:val="10"/>
                    <w:szCs w:val="10"/>
                  </w:rPr>
                </w:pPr>
                <w:r>
                  <w:rPr>
                    <w:sz w:val="10"/>
                    <w:szCs w:val="10"/>
                  </w:rPr>
                  <w:t>AG Düsseldorf . HRB 24827</w:t>
                </w:r>
                <w:r>
                  <w:rPr>
                    <w:sz w:val="10"/>
                    <w:szCs w:val="10"/>
                  </w:rPr>
                  <w:br/>
                  <w:t>Managing Directors:</w:t>
                </w:r>
                <w:r>
                  <w:rPr>
                    <w:sz w:val="10"/>
                    <w:szCs w:val="10"/>
                  </w:rPr>
                  <w:br/>
                  <w:t>Shinya Tamura, Tatsuhiko Yasaka</w:t>
                </w:r>
              </w:p>
            </w:tc>
            <w:tc>
              <w:tcPr>
                <w:tcW w:w="15" w:type="dxa"/>
                <w:tcBorders>
                  <w:left w:val="single" w:sz="6" w:space="0" w:color="000000"/>
                </w:tcBorders>
                <w:shd w:val="clear" w:color="auto" w:fill="FFFFFF"/>
                <w:vAlign w:val="center"/>
                <w:hideMark/>
              </w:tcPr>
              <w:p w14:paraId="59D253D8" w14:textId="77777777" w:rsidR="0006077B" w:rsidRDefault="009E234D">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4E76BE5" w14:textId="77777777" w:rsidR="0006077B" w:rsidRDefault="009E234D">
                <w:pPr>
                  <w:rPr>
                    <w:sz w:val="10"/>
                    <w:szCs w:val="10"/>
                  </w:rPr>
                </w:pPr>
                <w:r>
                  <w:rPr>
                    <w:sz w:val="10"/>
                    <w:szCs w:val="10"/>
                  </w:rPr>
                  <w:t> </w:t>
                </w:r>
              </w:p>
            </w:tc>
            <w:tc>
              <w:tcPr>
                <w:tcW w:w="850" w:type="pct"/>
                <w:vAlign w:val="center"/>
                <w:hideMark/>
              </w:tcPr>
              <w:p w14:paraId="6D2315A4" w14:textId="77777777" w:rsidR="0006077B" w:rsidRPr="0080139F" w:rsidRDefault="009E234D">
                <w:pPr>
                  <w:rPr>
                    <w:sz w:val="10"/>
                    <w:szCs w:val="10"/>
                    <w:lang w:val="en-US"/>
                  </w:rPr>
                </w:pPr>
                <w:r w:rsidRPr="0080139F">
                  <w:rPr>
                    <w:sz w:val="10"/>
                    <w:szCs w:val="10"/>
                    <w:lang w:val="en-US"/>
                  </w:rPr>
                  <w:t>WEEE-Reg.-Nr. DE 88787165</w:t>
                </w:r>
                <w:r w:rsidRPr="0080139F">
                  <w:rPr>
                    <w:sz w:val="10"/>
                    <w:szCs w:val="10"/>
                    <w:lang w:val="en-US"/>
                  </w:rPr>
                  <w:br/>
                </w:r>
                <w:r w:rsidRPr="0080139F">
                  <w:rPr>
                    <w:sz w:val="10"/>
                    <w:szCs w:val="10"/>
                    <w:lang w:val="en-US"/>
                  </w:rPr>
                  <w:t>USTID-NR: DE258501442</w:t>
                </w:r>
                <w:r w:rsidRPr="0080139F">
                  <w:rPr>
                    <w:sz w:val="10"/>
                    <w:szCs w:val="10"/>
                    <w:lang w:val="en-US"/>
                  </w:rPr>
                  <w:br/>
                  <w:t>ST-NR: 106/5727/1323</w:t>
                </w:r>
                <w:r w:rsidRPr="0080139F">
                  <w:rPr>
                    <w:sz w:val="10"/>
                    <w:szCs w:val="10"/>
                    <w:lang w:val="en-US"/>
                  </w:rPr>
                  <w:br/>
                  <w:t>  </w:t>
                </w:r>
              </w:p>
            </w:tc>
            <w:tc>
              <w:tcPr>
                <w:tcW w:w="28" w:type="dxa"/>
                <w:vAlign w:val="center"/>
                <w:hideMark/>
              </w:tcPr>
              <w:p w14:paraId="760232AE" w14:textId="77777777" w:rsidR="0006077B" w:rsidRPr="0080139F" w:rsidRDefault="009E234D">
                <w:pPr>
                  <w:rPr>
                    <w:sz w:val="10"/>
                    <w:szCs w:val="10"/>
                    <w:lang w:val="en-US"/>
                  </w:rPr>
                </w:pPr>
                <w:r w:rsidRPr="0080139F">
                  <w:rPr>
                    <w:sz w:val="10"/>
                    <w:szCs w:val="10"/>
                    <w:lang w:val="en-US"/>
                  </w:rPr>
                  <w:t> </w:t>
                </w:r>
              </w:p>
            </w:tc>
          </w:tr>
        </w:tbl>
        <w:p w14:paraId="580EF0E9" w14:textId="77777777" w:rsidR="0006077B" w:rsidRPr="0080139F" w:rsidRDefault="0006077B">
          <w:pPr>
            <w:rPr>
              <w:sz w:val="10"/>
              <w:szCs w:val="10"/>
              <w:lang w:val="en-US"/>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03D0797" w14:textId="77777777" w:rsidR="0006077B" w:rsidRPr="0080139F" w:rsidRDefault="0006077B">
          <w:pPr>
            <w:rPr>
              <w:sz w:val="10"/>
              <w:szCs w:val="10"/>
              <w:lang w:val="en-US"/>
            </w:rPr>
          </w:pPr>
        </w:p>
      </w:tc>
    </w:tr>
  </w:tbl>
  <w:p w14:paraId="02D7885B" w14:textId="77777777" w:rsidR="0006077B" w:rsidRPr="0080139F" w:rsidRDefault="0006077B">
    <w:pPr>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9A112" w14:textId="77777777" w:rsidR="00FE26DF" w:rsidRDefault="00FE26DF">
      <w:pPr>
        <w:spacing w:line="240" w:lineRule="auto"/>
      </w:pPr>
      <w:r>
        <w:separator/>
      </w:r>
    </w:p>
  </w:footnote>
  <w:footnote w:type="continuationSeparator" w:id="0">
    <w:p w14:paraId="63FE756F" w14:textId="77777777" w:rsidR="00FE26DF" w:rsidRDefault="00FE26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C645A" w14:textId="77777777" w:rsidR="0006077B" w:rsidRDefault="009E234D">
    <w:r>
      <w:rPr>
        <w:noProof/>
      </w:rPr>
      <w:drawing>
        <wp:anchor distT="0" distB="0" distL="114300" distR="114300" simplePos="0" relativeHeight="251659264" behindDoc="0" locked="0" layoutInCell="0" allowOverlap="0" wp14:anchorId="2F7A17F3" wp14:editId="79F58809">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sz w:val="24"/>
        <w:szCs w:val="24"/>
      </w:rPr>
      <w:t>Press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501E" w14:textId="77777777" w:rsidR="0006077B" w:rsidRDefault="009E234D">
    <w:pPr>
      <w:rPr>
        <w:color w:val="343434"/>
      </w:rPr>
    </w:pPr>
    <w:r>
      <w:rPr>
        <w:noProof/>
        <w:color w:val="343434"/>
      </w:rPr>
      <w:drawing>
        <wp:anchor distT="0" distB="0" distL="114300" distR="114300" simplePos="0" relativeHeight="251658240" behindDoc="0" locked="0" layoutInCell="0" allowOverlap="0" wp14:anchorId="5B70BB67" wp14:editId="0ED23B42">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color w:val="343434"/>
        <w:sz w:val="24"/>
        <w:szCs w:val="24"/>
      </w:rPr>
      <w:t>Press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77B"/>
    <w:rsid w:val="0006077B"/>
    <w:rsid w:val="00223573"/>
    <w:rsid w:val="0080139F"/>
    <w:rsid w:val="008F12E6"/>
    <w:rsid w:val="009E234D"/>
    <w:rsid w:val="00A72ED8"/>
    <w:rsid w:val="00D32EEE"/>
    <w:rsid w:val="00E764AD"/>
    <w:rsid w:val="00FE26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9FE53"/>
  <w15:docId w15:val="{E39D611A-93DB-C54B-96E0-ABD4A8803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eu.toto.com/de" TargetMode="External"/><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pressrelease.bering-kopal.de/cms/de.toto.com"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yperlink" Target="https://sciencebasedtargets.org/about-us" TargetMode="Externa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1163</Words>
  <Characters>7334</Characters>
  <Application>Microsoft Office Word</Application>
  <DocSecurity>0</DocSecurity>
  <Lines>61</Lines>
  <Paragraphs>16</Paragraphs>
  <ScaleCrop>false</ScaleCrop>
  <Company/>
  <LinksUpToDate>false</LinksUpToDate>
  <CharactersWithSpaces>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cp:lastModifiedBy>
  <cp:revision>6</cp:revision>
  <dcterms:created xsi:type="dcterms:W3CDTF">2024-05-29T08:56:00Z</dcterms:created>
  <dcterms:modified xsi:type="dcterms:W3CDTF">2024-06-04T10:39:00Z</dcterms:modified>
</cp:coreProperties>
</file>